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EC" w:rsidRDefault="00723835">
      <w:pPr>
        <w:pStyle w:val="Cmsor10"/>
        <w:keepNext/>
        <w:keepLines/>
      </w:pPr>
      <w:bookmarkStart w:id="0" w:name="bookmark0"/>
      <w:r>
        <w:t>Katolikus teológus osztatlan képzés záróvizsga tételei</w:t>
      </w:r>
      <w:r>
        <w:br/>
        <w:t>(2020</w:t>
      </w:r>
      <w:r>
        <w:t>. szeptembert</w:t>
      </w:r>
      <w:r>
        <w:rPr>
          <w:b w:val="0"/>
          <w:bCs w:val="0"/>
        </w:rPr>
        <w:t>ő</w:t>
      </w:r>
      <w:r>
        <w:t>l)</w:t>
      </w:r>
      <w:bookmarkEnd w:id="0"/>
    </w:p>
    <w:p w:rsidR="00E213EC" w:rsidRDefault="00723835">
      <w:pPr>
        <w:pStyle w:val="Cmsor10"/>
        <w:keepNext/>
        <w:keepLines/>
        <w:spacing w:after="300"/>
        <w:jc w:val="left"/>
      </w:pPr>
      <w:bookmarkStart w:id="1" w:name="bookmark2"/>
      <w:r>
        <w:t>Dogmatika</w:t>
      </w:r>
      <w:bookmarkEnd w:id="1"/>
    </w:p>
    <w:p w:rsidR="00E213EC" w:rsidRDefault="00723835">
      <w:pPr>
        <w:pStyle w:val="Cmsor20"/>
        <w:keepNext/>
        <w:keepLines/>
      </w:pPr>
      <w:bookmarkStart w:id="2" w:name="bookmark4"/>
      <w:r>
        <w:t>I. Isten misztériuma</w:t>
      </w:r>
      <w:bookmarkEnd w:id="2"/>
    </w:p>
    <w:p w:rsidR="00E213EC" w:rsidRDefault="00723835">
      <w:pPr>
        <w:pStyle w:val="Szvegtrzs1"/>
        <w:numPr>
          <w:ilvl w:val="0"/>
          <w:numId w:val="1"/>
        </w:numPr>
        <w:tabs>
          <w:tab w:val="left" w:pos="330"/>
        </w:tabs>
        <w:spacing w:after="0"/>
      </w:pPr>
      <w:r>
        <w:t>Az Istenről szóló beszéd lehetősége és formái, Isten megismerése (A dogmatika kézikönyve I, 25-35; 118-</w:t>
      </w:r>
      <w:r>
        <w:br/>
        <w:t>126; 91-93; 102-104).</w:t>
      </w:r>
    </w:p>
    <w:p w:rsidR="00E213EC" w:rsidRDefault="00723835">
      <w:pPr>
        <w:pStyle w:val="Szvegtrzs1"/>
        <w:numPr>
          <w:ilvl w:val="0"/>
          <w:numId w:val="1"/>
        </w:numPr>
        <w:tabs>
          <w:tab w:val="left" w:pos="354"/>
        </w:tabs>
        <w:spacing w:after="300"/>
      </w:pPr>
      <w:r>
        <w:t>Ágoston öröksége és a</w:t>
      </w:r>
      <w:r>
        <w:t xml:space="preserve"> Filioque kérdése (A dogmatika kézikönyve I, 531-540; 569-573).</w:t>
      </w:r>
    </w:p>
    <w:p w:rsidR="00E213EC" w:rsidRDefault="00723835">
      <w:pPr>
        <w:pStyle w:val="Cmsor20"/>
        <w:keepNext/>
        <w:keepLines/>
        <w:numPr>
          <w:ilvl w:val="0"/>
          <w:numId w:val="2"/>
        </w:numPr>
        <w:tabs>
          <w:tab w:val="left" w:pos="430"/>
        </w:tabs>
      </w:pPr>
      <w:bookmarkStart w:id="3" w:name="bookmark6"/>
      <w:r>
        <w:t>A Szentháromság misztériuma</w:t>
      </w:r>
      <w:bookmarkEnd w:id="3"/>
    </w:p>
    <w:p w:rsidR="00E213EC" w:rsidRDefault="00723835">
      <w:pPr>
        <w:pStyle w:val="Szvegtrzs1"/>
        <w:numPr>
          <w:ilvl w:val="0"/>
          <w:numId w:val="3"/>
        </w:numPr>
        <w:tabs>
          <w:tab w:val="left" w:pos="349"/>
        </w:tabs>
        <w:spacing w:after="0"/>
      </w:pPr>
      <w:r>
        <w:t>Ökonómiai és immanens Szentháromság, az önközlés titka és a szentháromságtani személyfogalom (A</w:t>
      </w:r>
      <w:r>
        <w:br/>
        <w:t>dogmatika kézikönyve II, 547-581).</w:t>
      </w:r>
    </w:p>
    <w:p w:rsidR="00E213EC" w:rsidRDefault="00723835">
      <w:pPr>
        <w:pStyle w:val="Szvegtrzs1"/>
        <w:numPr>
          <w:ilvl w:val="0"/>
          <w:numId w:val="3"/>
        </w:numPr>
        <w:tabs>
          <w:tab w:val="left" w:pos="354"/>
        </w:tabs>
        <w:spacing w:after="300"/>
      </w:pPr>
      <w:r>
        <w:t>A szentháromságtani fogalmak rögz</w:t>
      </w:r>
      <w:r>
        <w:t>ítése; Nyugat pszichológiai megközelítése; Szentviktori Richárd és a</w:t>
      </w:r>
      <w:r>
        <w:br/>
        <w:t>ferences iskola (A dogmatika kézikönyve II, 516-532).</w:t>
      </w:r>
    </w:p>
    <w:p w:rsidR="00E213EC" w:rsidRDefault="00723835">
      <w:pPr>
        <w:pStyle w:val="Cmsor20"/>
        <w:keepNext/>
        <w:keepLines/>
        <w:numPr>
          <w:ilvl w:val="0"/>
          <w:numId w:val="2"/>
        </w:numPr>
        <w:tabs>
          <w:tab w:val="left" w:pos="528"/>
        </w:tabs>
      </w:pPr>
      <w:bookmarkStart w:id="4" w:name="bookmark8"/>
      <w:r>
        <w:t>A teremtés misztériuma</w:t>
      </w:r>
      <w:bookmarkEnd w:id="4"/>
    </w:p>
    <w:p w:rsidR="00E213EC" w:rsidRDefault="00723835">
      <w:pPr>
        <w:pStyle w:val="Szvegtrzs1"/>
        <w:numPr>
          <w:ilvl w:val="0"/>
          <w:numId w:val="4"/>
        </w:numPr>
        <w:tabs>
          <w:tab w:val="left" w:pos="334"/>
        </w:tabs>
        <w:spacing w:after="0"/>
      </w:pPr>
      <w:r>
        <w:t>A szabad, semmiből való teremtés, a teremtés célja (Puskás Attila, A teremtés teológiája, 188-212).</w:t>
      </w:r>
    </w:p>
    <w:p w:rsidR="00E213EC" w:rsidRDefault="00723835">
      <w:pPr>
        <w:pStyle w:val="Szvegtrzs1"/>
        <w:numPr>
          <w:ilvl w:val="0"/>
          <w:numId w:val="4"/>
        </w:numPr>
        <w:tabs>
          <w:tab w:val="left" w:pos="358"/>
        </w:tabs>
        <w:spacing w:after="300"/>
      </w:pPr>
      <w:r>
        <w:t>A kereszté</w:t>
      </w:r>
      <w:r>
        <w:t>ny antropológia teremtésteológiai alapjai (Puskás Attila, A teremtés teológiája, 265-295).</w:t>
      </w:r>
    </w:p>
    <w:p w:rsidR="00E213EC" w:rsidRDefault="00723835">
      <w:pPr>
        <w:pStyle w:val="Cmsor20"/>
        <w:keepNext/>
        <w:keepLines/>
        <w:numPr>
          <w:ilvl w:val="0"/>
          <w:numId w:val="2"/>
        </w:numPr>
        <w:tabs>
          <w:tab w:val="left" w:pos="541"/>
        </w:tabs>
      </w:pPr>
      <w:bookmarkStart w:id="5" w:name="bookmark10"/>
      <w:r>
        <w:t>Krisztus misztériuma</w:t>
      </w:r>
      <w:bookmarkEnd w:id="5"/>
    </w:p>
    <w:p w:rsidR="00E213EC" w:rsidRDefault="00723835">
      <w:pPr>
        <w:pStyle w:val="Szvegtrzs1"/>
        <w:numPr>
          <w:ilvl w:val="0"/>
          <w:numId w:val="5"/>
        </w:numPr>
        <w:tabs>
          <w:tab w:val="left" w:pos="358"/>
        </w:tabs>
        <w:spacing w:after="0"/>
      </w:pPr>
      <w:r>
        <w:t>A krisztológiai dogma fejlődése a Nikaiai zsinattól a III. Konstantinápolyi zsinatig (A dogmatika</w:t>
      </w:r>
      <w:r>
        <w:br/>
        <w:t>kézikönyve I, 357-380).</w:t>
      </w:r>
    </w:p>
    <w:p w:rsidR="00E213EC" w:rsidRDefault="00723835">
      <w:pPr>
        <w:pStyle w:val="Szvegtrzs1"/>
        <w:numPr>
          <w:ilvl w:val="0"/>
          <w:numId w:val="5"/>
        </w:numPr>
        <w:tabs>
          <w:tab w:val="left" w:pos="354"/>
        </w:tabs>
        <w:spacing w:after="300"/>
      </w:pPr>
      <w:r>
        <w:t xml:space="preserve">A megtestesülés </w:t>
      </w:r>
      <w:r>
        <w:t>titkának értelmezése (Kereszty Rókus - Puskás Attila, Jézus Krisztus, 401-415;</w:t>
      </w:r>
      <w:r>
        <w:br/>
        <w:t>435-447).</w:t>
      </w:r>
    </w:p>
    <w:p w:rsidR="00E213EC" w:rsidRDefault="00723835">
      <w:pPr>
        <w:pStyle w:val="Cmsor20"/>
        <w:keepNext/>
        <w:keepLines/>
        <w:numPr>
          <w:ilvl w:val="0"/>
          <w:numId w:val="2"/>
        </w:numPr>
        <w:tabs>
          <w:tab w:val="left" w:pos="445"/>
        </w:tabs>
      </w:pPr>
      <w:bookmarkStart w:id="6" w:name="bookmark12"/>
      <w:r>
        <w:t>A kegyelem misztériuma</w:t>
      </w:r>
      <w:bookmarkEnd w:id="6"/>
    </w:p>
    <w:p w:rsidR="00E213EC" w:rsidRDefault="00723835">
      <w:pPr>
        <w:pStyle w:val="Szvegtrzs1"/>
        <w:numPr>
          <w:ilvl w:val="0"/>
          <w:numId w:val="6"/>
        </w:numPr>
        <w:tabs>
          <w:tab w:val="left" w:pos="354"/>
        </w:tabs>
        <w:spacing w:after="0"/>
      </w:pPr>
      <w:r>
        <w:t>Luther és a Trienti zsinat megigazulásfelfogásának összehasonlítása (Puskás Attila, A kegyelem</w:t>
      </w:r>
      <w:r>
        <w:br/>
        <w:t>teológiája, 118-123; 126-138).</w:t>
      </w:r>
    </w:p>
    <w:p w:rsidR="00E213EC" w:rsidRDefault="00723835">
      <w:pPr>
        <w:pStyle w:val="Szvegtrzs1"/>
        <w:numPr>
          <w:ilvl w:val="0"/>
          <w:numId w:val="6"/>
        </w:numPr>
        <w:tabs>
          <w:tab w:val="left" w:pos="354"/>
        </w:tabs>
        <w:spacing w:after="300"/>
      </w:pPr>
      <w:r>
        <w:t>Isten egyetemes üd</w:t>
      </w:r>
      <w:r>
        <w:t>vözítő akarata (Puskás Attila, A kegyelem teológiája, 173-185).</w:t>
      </w:r>
    </w:p>
    <w:p w:rsidR="00E213EC" w:rsidRDefault="00723835">
      <w:pPr>
        <w:pStyle w:val="Cmsor20"/>
        <w:keepNext/>
        <w:keepLines/>
        <w:numPr>
          <w:ilvl w:val="0"/>
          <w:numId w:val="2"/>
        </w:numPr>
        <w:tabs>
          <w:tab w:val="left" w:pos="541"/>
        </w:tabs>
      </w:pPr>
      <w:bookmarkStart w:id="7" w:name="bookmark14"/>
      <w:r>
        <w:t>Isten szentségi kegyelme</w:t>
      </w:r>
      <w:bookmarkEnd w:id="7"/>
    </w:p>
    <w:p w:rsidR="00E213EC" w:rsidRDefault="00723835">
      <w:pPr>
        <w:pStyle w:val="Szvegtrzs1"/>
        <w:numPr>
          <w:ilvl w:val="0"/>
          <w:numId w:val="7"/>
        </w:numPr>
        <w:tabs>
          <w:tab w:val="left" w:pos="325"/>
        </w:tabs>
        <w:spacing w:after="0"/>
      </w:pPr>
      <w:r>
        <w:t>Szentségtani alapfogalmak (A dogmatika kézikönyve II, 207-215; 218-232).</w:t>
      </w:r>
    </w:p>
    <w:p w:rsidR="00E213EC" w:rsidRDefault="00723835">
      <w:pPr>
        <w:pStyle w:val="Szvegtrzs1"/>
        <w:numPr>
          <w:ilvl w:val="0"/>
          <w:numId w:val="7"/>
        </w:numPr>
        <w:tabs>
          <w:tab w:val="left" w:pos="344"/>
        </w:tabs>
        <w:spacing w:after="300" w:line="259" w:lineRule="auto"/>
      </w:pPr>
      <w:r>
        <w:t>A keresztség szentsége (A dogmatika kézikönyve II, 236-270).</w:t>
      </w:r>
    </w:p>
    <w:p w:rsidR="00E213EC" w:rsidRDefault="00723835">
      <w:pPr>
        <w:pStyle w:val="Cmsor20"/>
        <w:keepNext/>
        <w:keepLines/>
        <w:numPr>
          <w:ilvl w:val="0"/>
          <w:numId w:val="2"/>
        </w:numPr>
        <w:tabs>
          <w:tab w:val="left" w:pos="632"/>
        </w:tabs>
      </w:pPr>
      <w:bookmarkStart w:id="8" w:name="bookmark16"/>
      <w:r>
        <w:t>A kegyelem beteljesedése</w:t>
      </w:r>
      <w:bookmarkEnd w:id="8"/>
    </w:p>
    <w:p w:rsidR="00E213EC" w:rsidRDefault="00723835">
      <w:pPr>
        <w:pStyle w:val="Szvegtrzs1"/>
        <w:numPr>
          <w:ilvl w:val="0"/>
          <w:numId w:val="8"/>
        </w:numPr>
        <w:tabs>
          <w:tab w:val="left" w:pos="330"/>
        </w:tabs>
        <w:spacing w:after="0"/>
      </w:pPr>
      <w:r>
        <w:t>A halál,</w:t>
      </w:r>
      <w:r>
        <w:t xml:space="preserve"> a hal</w:t>
      </w:r>
      <w:bookmarkStart w:id="9" w:name="_GoBack"/>
      <w:bookmarkEnd w:id="9"/>
      <w:r>
        <w:t>hatatlanság és a feltámadás teológiai értelmezése (A dogmatika kézikönyve II, 470-482).</w:t>
      </w:r>
    </w:p>
    <w:p w:rsidR="00E213EC" w:rsidRDefault="00723835">
      <w:pPr>
        <w:pStyle w:val="Szvegtrzs1"/>
        <w:numPr>
          <w:ilvl w:val="0"/>
          <w:numId w:val="8"/>
        </w:numPr>
        <w:tabs>
          <w:tab w:val="left" w:pos="354"/>
        </w:tabs>
        <w:spacing w:after="300"/>
      </w:pPr>
      <w:r>
        <w:t>Az ítélet, a purgatórium, a pokol és a beteljesedés teológiai értelmezése (A dogmatika kézikönyve II, 482-</w:t>
      </w:r>
      <w:r>
        <w:br/>
        <w:t>494).</w:t>
      </w:r>
    </w:p>
    <w:p w:rsidR="00E213EC" w:rsidRDefault="00723835">
      <w:pPr>
        <w:pStyle w:val="Cmsor20"/>
        <w:keepNext/>
        <w:keepLines/>
        <w:rPr>
          <w:sz w:val="24"/>
          <w:szCs w:val="24"/>
        </w:rPr>
      </w:pPr>
      <w:bookmarkStart w:id="10" w:name="bookmark18"/>
      <w:r>
        <w:lastRenderedPageBreak/>
        <w:t>Az egyes traktátusokhoz tartozó dogmákat tudni ke</w:t>
      </w:r>
      <w:r>
        <w:t xml:space="preserve">ll!!! </w:t>
      </w:r>
      <w:r>
        <w:rPr>
          <w:sz w:val="24"/>
          <w:szCs w:val="24"/>
        </w:rPr>
        <w:t>(A dogmatika kézikönyve II, 635-638).</w:t>
      </w:r>
      <w:bookmarkEnd w:id="10"/>
    </w:p>
    <w:sectPr w:rsidR="00E213EC" w:rsidSect="00723835">
      <w:pgSz w:w="11900" w:h="16840"/>
      <w:pgMar w:top="716" w:right="697" w:bottom="709" w:left="692" w:header="288" w:footer="11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3835">
      <w:r>
        <w:separator/>
      </w:r>
    </w:p>
  </w:endnote>
  <w:endnote w:type="continuationSeparator" w:id="0">
    <w:p w:rsidR="00000000" w:rsidRDefault="0072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EC" w:rsidRDefault="00E213EC"/>
  </w:footnote>
  <w:footnote w:type="continuationSeparator" w:id="0">
    <w:p w:rsidR="00E213EC" w:rsidRDefault="00E21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D1E"/>
    <w:multiLevelType w:val="multilevel"/>
    <w:tmpl w:val="26B45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53378"/>
    <w:multiLevelType w:val="multilevel"/>
    <w:tmpl w:val="71AC4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41157"/>
    <w:multiLevelType w:val="multilevel"/>
    <w:tmpl w:val="D2AA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232C9"/>
    <w:multiLevelType w:val="multilevel"/>
    <w:tmpl w:val="08BEE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7140E"/>
    <w:multiLevelType w:val="multilevel"/>
    <w:tmpl w:val="06706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054D64"/>
    <w:multiLevelType w:val="multilevel"/>
    <w:tmpl w:val="74DCA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85692"/>
    <w:multiLevelType w:val="multilevel"/>
    <w:tmpl w:val="B6AC7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3A1003"/>
    <w:multiLevelType w:val="multilevel"/>
    <w:tmpl w:val="DF90411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EC"/>
    <w:rsid w:val="00723835"/>
    <w:rsid w:val="00E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5DE2"/>
  <w15:docId w15:val="{2D2784C4-7D94-4BFD-B1AA-A154A5D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msor2">
    <w:name w:val="Címsor #2_"/>
    <w:basedOn w:val="Bekezdsalapbettpusa"/>
    <w:link w:val="Cmso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msor10">
    <w:name w:val="Címsor #1"/>
    <w:basedOn w:val="Norml"/>
    <w:link w:val="Cmsor1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msor20">
    <w:name w:val="Címsor #2"/>
    <w:basedOn w:val="Norml"/>
    <w:link w:val="Cmsor2"/>
    <w:pPr>
      <w:spacing w:after="3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zvegtrzs1">
    <w:name w:val="Szövegtörzs1"/>
    <w:basedOn w:val="Norml"/>
    <w:link w:val="Szvegtrzs"/>
    <w:pPr>
      <w:spacing w:after="150"/>
    </w:pPr>
    <w:rPr>
      <w:rFonts w:ascii="Times New Roman" w:eastAsia="Times New Roman" w:hAnsi="Times New Roman" w:cs="Times New Roman"/>
    </w:rPr>
  </w:style>
  <w:style w:type="paragraph" w:customStyle="1" w:styleId="Szvegtrzs20">
    <w:name w:val="Szövegtörzs (2)"/>
    <w:basedOn w:val="Norml"/>
    <w:link w:val="Szvegtrzs2"/>
    <w:pPr>
      <w:spacing w:after="2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teologus.2012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teologus.2012</dc:title>
  <dc:subject/>
  <dc:creator>ehavasi</dc:creator>
  <cp:keywords/>
  <cp:lastModifiedBy>Horváthné Kelemen Rózsa</cp:lastModifiedBy>
  <cp:revision>2</cp:revision>
  <dcterms:created xsi:type="dcterms:W3CDTF">2021-06-02T09:51:00Z</dcterms:created>
  <dcterms:modified xsi:type="dcterms:W3CDTF">2021-06-02T09:51:00Z</dcterms:modified>
</cp:coreProperties>
</file>